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FE6B74" w:rsidRDefault="00A20139" w:rsidP="00A20139">
                <w:pPr>
                  <w:suppressLineNumbers/>
                  <w:rPr>
                    <w:rFonts w:ascii="Arial" w:hAnsi="Arial"/>
                    <w:b/>
                    <w:bCs/>
                    <w:noProof w:val="0"/>
                    <w:sz w:val="26"/>
                    <w:szCs w:val="26"/>
                    <w:rtl/>
                  </w:rPr>
                </w:pPr>
                <w:r>
                  <w:rPr>
                    <w:rFonts w:ascii="Arial" w:hAnsi="Arial" w:hint="cs"/>
                    <w:b/>
                    <w:bCs/>
                    <w:noProof w:val="0"/>
                    <w:sz w:val="26"/>
                    <w:szCs w:val="26"/>
                    <w:rtl/>
                  </w:rPr>
                  <w:t>ה</w:t>
                </w:r>
                <w:r w:rsidR="00214E75">
                  <w:rPr>
                    <w:rFonts w:ascii="Arial" w:hAnsi="Arial"/>
                    <w:b/>
                    <w:bCs/>
                    <w:noProof w:val="0"/>
                    <w:sz w:val="26"/>
                    <w:szCs w:val="26"/>
                    <w:rtl/>
                  </w:rPr>
                  <w:t>תובע</w:t>
                </w:r>
                <w:r>
                  <w:rPr>
                    <w:rFonts w:ascii="Arial" w:hAnsi="Arial" w:hint="cs"/>
                    <w:b/>
                    <w:bCs/>
                    <w:noProof w:val="0"/>
                    <w:sz w:val="26"/>
                    <w:szCs w:val="26"/>
                    <w:rtl/>
                  </w:rPr>
                  <w:t xml:space="preserve"> (המבקש)</w:t>
                </w:r>
              </w:p>
            </w:sdtContent>
          </w:sdt>
        </w:tc>
        <w:tc>
          <w:tcPr>
            <w:tcW w:w="5571" w:type="dxa"/>
          </w:tcPr>
          <w:p w:rsidR="0094424E" w:rsidRDefault="0094424E" w:rsidP="00D44968">
            <w:pPr>
              <w:suppressLineNumbers/>
              <w:rPr>
                <w:rFonts w:ascii="Arial" w:hAnsi="Arial"/>
                <w:b/>
                <w:bCs/>
                <w:noProof w:val="0"/>
                <w:sz w:val="26"/>
                <w:szCs w:val="26"/>
                <w:rtl/>
              </w:rPr>
            </w:pPr>
          </w:p>
          <w:p w:rsidR="00A20139"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יחיאל ברזילי</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A20139">
              <w:rPr>
                <w:rFonts w:hint="cs"/>
                <w:b/>
                <w:bCs/>
                <w:noProof w:val="0"/>
                <w:sz w:val="26"/>
                <w:szCs w:val="26"/>
                <w:rtl/>
              </w:rPr>
              <w:t xml:space="preserve"> יוחי גבע</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Pr="00A20139" w:rsidRDefault="000E3811" w:rsidP="00A20139">
            <w:pPr>
              <w:suppressLineNumbers/>
              <w:rPr>
                <w:rFonts w:ascii="Arial" w:hAnsi="Arial"/>
                <w:b/>
                <w:bCs/>
                <w:noProof w:val="0"/>
                <w:sz w:val="26"/>
                <w:szCs w:val="26"/>
              </w:rPr>
            </w:pPr>
            <w:sdt>
              <w:sdtPr>
                <w:rPr>
                  <w:b/>
                  <w:bCs/>
                  <w:rtl/>
                </w:rPr>
                <w:alias w:val="1184"/>
                <w:tag w:val="1184"/>
                <w:id w:val="-340621022"/>
                <w:text w:multiLine="1"/>
              </w:sdtPr>
              <w:sdtEndPr/>
              <w:sdtContent>
                <w:r w:rsidR="00A20139">
                  <w:rPr>
                    <w:rFonts w:ascii="Arial" w:hAnsi="Arial" w:hint="cs"/>
                    <w:b/>
                    <w:bCs/>
                    <w:noProof w:val="0"/>
                    <w:sz w:val="26"/>
                    <w:szCs w:val="26"/>
                    <w:rtl/>
                  </w:rPr>
                  <w:t>ה</w:t>
                </w:r>
                <w:r w:rsidR="00B859C5" w:rsidRPr="00A20139">
                  <w:rPr>
                    <w:rFonts w:ascii="Arial" w:hAnsi="Arial"/>
                    <w:b/>
                    <w:bCs/>
                    <w:noProof w:val="0"/>
                    <w:sz w:val="26"/>
                    <w:szCs w:val="26"/>
                    <w:rtl/>
                  </w:rPr>
                  <w:t>נתבע</w:t>
                </w:r>
                <w:r w:rsidR="00A20139">
                  <w:rPr>
                    <w:rFonts w:ascii="Arial" w:hAnsi="Arial" w:hint="cs"/>
                    <w:b/>
                    <w:bCs/>
                    <w:noProof w:val="0"/>
                    <w:sz w:val="26"/>
                    <w:szCs w:val="26"/>
                    <w:rtl/>
                  </w:rPr>
                  <w:t>ת (המשיבה)</w:t>
                </w:r>
              </w:sdtContent>
            </w:sdt>
          </w:p>
        </w:tc>
        <w:tc>
          <w:tcPr>
            <w:tcW w:w="5571" w:type="dxa"/>
          </w:tcPr>
          <w:p w:rsidR="00A20139" w:rsidRPr="00A20139" w:rsidRDefault="007C2453" w:rsidP="007C2453">
            <w:pPr>
              <w:suppressLineNumbers/>
              <w:rPr>
                <w:rFonts w:ascii="Arial" w:hAnsi="Arial"/>
                <w:b/>
                <w:bCs/>
                <w:noProof w:val="0"/>
                <w:sz w:val="26"/>
                <w:szCs w:val="26"/>
                <w:rtl/>
              </w:rPr>
            </w:pPr>
            <w:r w:rsidRPr="00A20139">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proofErr w:type="spellStart"/>
                <w:r w:rsidR="00B859C5" w:rsidRPr="00A20139">
                  <w:rPr>
                    <w:rFonts w:ascii="Arial" w:hAnsi="Arial" w:hint="eastAsia"/>
                    <w:b/>
                    <w:bCs/>
                    <w:noProof w:val="0"/>
                    <w:sz w:val="26"/>
                    <w:szCs w:val="26"/>
                    <w:rtl/>
                  </w:rPr>
                  <w:t>מ.ס.ד</w:t>
                </w:r>
                <w:proofErr w:type="spellEnd"/>
                <w:r w:rsidR="00B859C5" w:rsidRPr="00A20139">
                  <w:rPr>
                    <w:rFonts w:ascii="Arial" w:hAnsi="Arial" w:hint="eastAsia"/>
                    <w:b/>
                    <w:bCs/>
                    <w:noProof w:val="0"/>
                    <w:sz w:val="26"/>
                    <w:szCs w:val="26"/>
                    <w:rtl/>
                  </w:rPr>
                  <w:t>. חיפה חברה למסחר בע"מ</w:t>
                </w:r>
              </w:sdtContent>
            </w:sdt>
            <w:r w:rsidR="00B859C5" w:rsidRPr="00A20139">
              <w:rPr>
                <w:rFonts w:hint="cs"/>
                <w:b/>
                <w:bCs/>
                <w:rtl/>
              </w:rPr>
              <w:t xml:space="preserve"> </w:t>
            </w:r>
          </w:p>
          <w:p w:rsidR="00CF6BB7" w:rsidRPr="00A20139" w:rsidRDefault="00B859C5" w:rsidP="007C2453">
            <w:pPr>
              <w:suppressLineNumbers/>
              <w:rPr>
                <w:b/>
                <w:bCs/>
                <w:rtl/>
              </w:rPr>
            </w:pPr>
            <w:r w:rsidRPr="00A20139">
              <w:rPr>
                <w:rFonts w:ascii="Arial" w:hAnsi="Arial"/>
                <w:b/>
                <w:bCs/>
                <w:noProof w:val="0"/>
                <w:sz w:val="26"/>
                <w:szCs w:val="26"/>
                <w:rtl/>
              </w:rPr>
              <w:t>ע"י ב"כ עוה"ד</w:t>
            </w:r>
            <w:r w:rsidR="00A20139" w:rsidRPr="00A20139">
              <w:rPr>
                <w:rFonts w:hint="cs"/>
                <w:b/>
                <w:bCs/>
                <w:rtl/>
              </w:rPr>
              <w:t xml:space="preserve"> חן שומרת</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694556" w:rsidRPr="00DE1E7D">
        <w:trPr>
          <w:jc w:val="center"/>
        </w:trPr>
        <w:tc>
          <w:tcPr>
            <w:tcW w:w="8820" w:type="dxa"/>
            <w:gridSpan w:val="3"/>
          </w:tcPr>
          <w:p w:rsidR="00D44968" w:rsidRPr="00D44968" w:rsidRDefault="00D44968" w:rsidP="00D703BC">
            <w:pPr>
              <w:bidi w:val="0"/>
              <w:jc w:val="center"/>
              <w:rPr>
                <w:rFonts w:ascii="Arial" w:hAnsi="Arial"/>
                <w:b/>
                <w:bCs/>
                <w:noProof w:val="0"/>
                <w:sz w:val="28"/>
                <w:szCs w:val="28"/>
                <w:u w:val="single"/>
              </w:rPr>
            </w:pPr>
          </w:p>
        </w:tc>
      </w:tr>
    </w:tbl>
    <w:p w:rsidR="00D703BC" w:rsidRDefault="00D703BC" w:rsidP="009E2FA4">
      <w:pPr>
        <w:spacing w:line="360" w:lineRule="auto"/>
        <w:jc w:val="center"/>
        <w:rPr>
          <w:b/>
          <w:bCs/>
          <w:noProof w:val="0"/>
          <w:u w:val="single"/>
        </w:rPr>
      </w:pPr>
      <w:bookmarkStart w:id="0" w:name="NGCSBookmark"/>
      <w:bookmarkEnd w:id="0"/>
      <w:r>
        <w:rPr>
          <w:b/>
          <w:bCs/>
          <w:u w:val="single"/>
          <w:rtl/>
        </w:rPr>
        <w:t>פסק דין לאישור בקשת הסתלקות מתוגמלת מבקשה לאשר תובענה כייצוגית</w:t>
      </w:r>
    </w:p>
    <w:p w:rsidR="00D703BC" w:rsidRDefault="00D703BC" w:rsidP="009E2FA4">
      <w:pPr>
        <w:spacing w:line="360" w:lineRule="auto"/>
        <w:jc w:val="center"/>
        <w:rPr>
          <w:b/>
          <w:bCs/>
          <w:u w:val="single"/>
          <w:rtl/>
        </w:rPr>
      </w:pPr>
      <w:r>
        <w:rPr>
          <w:b/>
          <w:bCs/>
          <w:u w:val="single"/>
          <w:rtl/>
        </w:rPr>
        <w:t>לפי סעיף 16 לחוק תובענות ייצוגיות, התשס"ו-2006</w:t>
      </w:r>
    </w:p>
    <w:p w:rsidR="00E94B8F" w:rsidRDefault="00E94B8F">
      <w:pPr>
        <w:spacing w:line="360" w:lineRule="auto"/>
        <w:jc w:val="both"/>
        <w:rPr>
          <w:rFonts w:ascii="Arial" w:hAnsi="Arial"/>
          <w:b/>
          <w:bCs/>
          <w:noProof w:val="0"/>
          <w:u w:val="single"/>
          <w:rtl/>
        </w:rPr>
      </w:pPr>
    </w:p>
    <w:p w:rsidR="00694556" w:rsidRPr="00E94B8F" w:rsidRDefault="00E94B8F">
      <w:pPr>
        <w:spacing w:line="360" w:lineRule="auto"/>
        <w:jc w:val="both"/>
        <w:rPr>
          <w:rFonts w:ascii="Arial" w:hAnsi="Arial"/>
          <w:b/>
          <w:bCs/>
          <w:noProof w:val="0"/>
          <w:u w:val="single"/>
          <w:rtl/>
        </w:rPr>
      </w:pPr>
      <w:r w:rsidRPr="00E94B8F">
        <w:rPr>
          <w:rFonts w:ascii="Arial" w:hAnsi="Arial" w:hint="cs"/>
          <w:b/>
          <w:bCs/>
          <w:noProof w:val="0"/>
          <w:u w:val="single"/>
          <w:rtl/>
        </w:rPr>
        <w:t>רקע כללי ואישור בקשת ההסתלקות המתוגמלת</w:t>
      </w:r>
    </w:p>
    <w:p w:rsidR="00A20139" w:rsidRPr="00FF48F9" w:rsidRDefault="00A20139" w:rsidP="00FF48F9">
      <w:pPr>
        <w:pStyle w:val="ae"/>
        <w:numPr>
          <w:ilvl w:val="0"/>
          <w:numId w:val="2"/>
        </w:numPr>
        <w:spacing w:line="360" w:lineRule="auto"/>
        <w:jc w:val="both"/>
        <w:rPr>
          <w:rFonts w:ascii="Arial" w:hAnsi="Arial"/>
          <w:noProof w:val="0"/>
        </w:rPr>
      </w:pPr>
      <w:r w:rsidRPr="00FF48F9">
        <w:rPr>
          <w:rFonts w:ascii="Arial" w:hAnsi="Arial"/>
          <w:rtl/>
        </w:rPr>
        <w:t xml:space="preserve">לפניי בקשה לאישור הסתלקות מתוגמלת, בהתאם לסעיף 16 לחוק תובענות ייצוגיות, התשס"ו-2006 (להלן: </w:t>
      </w:r>
      <w:r w:rsidRPr="00FF48F9">
        <w:rPr>
          <w:rFonts w:ascii="Arial" w:hAnsi="Arial"/>
          <w:b/>
          <w:bCs/>
          <w:rtl/>
        </w:rPr>
        <w:t>החוק</w:t>
      </w:r>
      <w:r w:rsidRPr="00FF48F9">
        <w:rPr>
          <w:rFonts w:ascii="Arial" w:hAnsi="Arial"/>
          <w:rtl/>
        </w:rPr>
        <w:t>).</w:t>
      </w:r>
    </w:p>
    <w:p w:rsidR="00E94B8F" w:rsidRDefault="00E94B8F" w:rsidP="00E94B8F">
      <w:pPr>
        <w:pStyle w:val="ae"/>
        <w:spacing w:line="360" w:lineRule="auto"/>
        <w:jc w:val="both"/>
        <w:rPr>
          <w:rFonts w:ascii="Arial" w:hAnsi="Arial"/>
        </w:rPr>
      </w:pPr>
    </w:p>
    <w:p w:rsidR="00A20139" w:rsidRPr="00FF48F9" w:rsidRDefault="00A20139" w:rsidP="009E2FA4">
      <w:pPr>
        <w:pStyle w:val="ae"/>
        <w:numPr>
          <w:ilvl w:val="0"/>
          <w:numId w:val="2"/>
        </w:numPr>
        <w:spacing w:line="360" w:lineRule="auto"/>
        <w:jc w:val="both"/>
        <w:rPr>
          <w:rFonts w:ascii="Arial" w:hAnsi="Arial"/>
          <w:rtl/>
        </w:rPr>
      </w:pPr>
      <w:r w:rsidRPr="00FF48F9">
        <w:rPr>
          <w:rFonts w:ascii="Arial" w:hAnsi="Arial"/>
          <w:rtl/>
        </w:rPr>
        <w:t>המבקש הגיש בקשה לאישור תובענה ייצוגית, בטענה כי המשיבה, חברת כח אדם, הפרה את הוראות תקנה 33 לתקנות שוויון זכויות לאנשים עם מוגבלויות (התאמת נגישות לשירות) התשע"ג-2013</w:t>
      </w:r>
      <w:r w:rsidR="00FF48F9">
        <w:rPr>
          <w:rFonts w:ascii="Arial" w:hAnsi="Arial" w:hint="cs"/>
          <w:rtl/>
        </w:rPr>
        <w:t xml:space="preserve"> (להלן: </w:t>
      </w:r>
      <w:r w:rsidR="00FF48F9" w:rsidRPr="00FF48F9">
        <w:rPr>
          <w:rFonts w:ascii="Arial" w:hAnsi="Arial" w:hint="cs"/>
          <w:b/>
          <w:bCs/>
          <w:rtl/>
        </w:rPr>
        <w:t>תקנות</w:t>
      </w:r>
      <w:r w:rsidR="009E2FA4">
        <w:rPr>
          <w:rFonts w:ascii="Arial" w:hAnsi="Arial" w:hint="cs"/>
          <w:b/>
          <w:bCs/>
          <w:rtl/>
        </w:rPr>
        <w:t xml:space="preserve"> השוויון</w:t>
      </w:r>
      <w:r w:rsidR="00FF48F9">
        <w:rPr>
          <w:rFonts w:ascii="Arial" w:hAnsi="Arial" w:hint="cs"/>
          <w:rtl/>
        </w:rPr>
        <w:t>)</w:t>
      </w:r>
      <w:r w:rsidRPr="00FF48F9">
        <w:rPr>
          <w:rFonts w:ascii="Arial" w:hAnsi="Arial"/>
          <w:rtl/>
        </w:rPr>
        <w:t xml:space="preserve">, כאשר מערכת ניתוב השיחות במענה הטלפוני של המשיבה לא עמדה בהוראות התקנה והמשיבה לא הנגישה את המערכת כנדרש. המשיבה טרם הגישה תגובתה לבקשת האישור; אולם בהתאם לבקשה  שלפניי, מבלי להודות בכל טענה של המבקש, פעלה המשיבה מייד לאחר שקיבלה את בקשת האישור להנגשת המערכת. </w:t>
      </w:r>
    </w:p>
    <w:p w:rsidR="00E94B8F" w:rsidRDefault="00E94B8F" w:rsidP="00E94B8F">
      <w:pPr>
        <w:pStyle w:val="ae"/>
        <w:spacing w:line="360" w:lineRule="auto"/>
        <w:jc w:val="both"/>
        <w:rPr>
          <w:rFonts w:ascii="Arial" w:hAnsi="Arial"/>
        </w:rPr>
      </w:pPr>
    </w:p>
    <w:p w:rsidR="00A20139" w:rsidRDefault="00A20139" w:rsidP="009E2FA4">
      <w:pPr>
        <w:pStyle w:val="ae"/>
        <w:numPr>
          <w:ilvl w:val="0"/>
          <w:numId w:val="2"/>
        </w:numPr>
        <w:spacing w:line="360" w:lineRule="auto"/>
        <w:jc w:val="both"/>
        <w:rPr>
          <w:rFonts w:ascii="Arial" w:hAnsi="Arial"/>
        </w:rPr>
      </w:pPr>
      <w:r w:rsidRPr="009E2FA4">
        <w:rPr>
          <w:rFonts w:ascii="Arial" w:hAnsi="Arial"/>
          <w:rtl/>
        </w:rPr>
        <w:t>המבקש צירף לבקשת ההסתלקות תצהיר מטעמו ומטעם בא כוחו כי לא קיבלו טובות הנאה כלשהן מהנתבעת, במישרין או בעקיפין, בקשר עם בקשת ההסתלקות, למעט התגמול המוסכם על הצדדים העומד על סך</w:t>
      </w:r>
      <w:r w:rsidR="001775F5" w:rsidRPr="009E2FA4">
        <w:rPr>
          <w:rFonts w:ascii="Arial" w:hAnsi="Arial" w:hint="cs"/>
          <w:rtl/>
        </w:rPr>
        <w:t xml:space="preserve"> של</w:t>
      </w:r>
      <w:r w:rsidRPr="009E2FA4">
        <w:rPr>
          <w:rFonts w:ascii="Arial" w:hAnsi="Arial"/>
          <w:rtl/>
        </w:rPr>
        <w:t xml:space="preserve"> </w:t>
      </w:r>
      <w:r w:rsidRPr="009E2FA4">
        <w:rPr>
          <w:rFonts w:ascii="Arial" w:hAnsi="Arial" w:hint="cs"/>
          <w:rtl/>
        </w:rPr>
        <w:t>1,0</w:t>
      </w:r>
      <w:r w:rsidRPr="009E2FA4">
        <w:rPr>
          <w:rFonts w:ascii="Arial" w:hAnsi="Arial"/>
          <w:rtl/>
        </w:rPr>
        <w:t xml:space="preserve">00 ₪ לתובע </w:t>
      </w:r>
      <w:r w:rsidR="001775F5" w:rsidRPr="009E2FA4">
        <w:rPr>
          <w:rFonts w:ascii="Arial" w:hAnsi="Arial" w:hint="cs"/>
          <w:rtl/>
        </w:rPr>
        <w:t xml:space="preserve">ועל סך של </w:t>
      </w:r>
      <w:r w:rsidRPr="009E2FA4">
        <w:rPr>
          <w:rFonts w:ascii="Arial" w:hAnsi="Arial"/>
          <w:rtl/>
        </w:rPr>
        <w:t>1</w:t>
      </w:r>
      <w:r w:rsidRPr="009E2FA4">
        <w:rPr>
          <w:rFonts w:ascii="Arial" w:hAnsi="Arial" w:hint="cs"/>
          <w:rtl/>
        </w:rPr>
        <w:t>4</w:t>
      </w:r>
      <w:r w:rsidRPr="009E2FA4">
        <w:rPr>
          <w:rFonts w:ascii="Arial" w:hAnsi="Arial"/>
          <w:rtl/>
        </w:rPr>
        <w:t>,</w:t>
      </w:r>
      <w:r w:rsidRPr="009E2FA4">
        <w:rPr>
          <w:rFonts w:ascii="Arial" w:hAnsi="Arial" w:hint="cs"/>
          <w:rtl/>
        </w:rPr>
        <w:t>0</w:t>
      </w:r>
      <w:r w:rsidRPr="009E2FA4">
        <w:rPr>
          <w:rFonts w:ascii="Arial" w:hAnsi="Arial"/>
          <w:rtl/>
        </w:rPr>
        <w:t xml:space="preserve">00 ₪ בצירוף מע"מ לבא כוחו. </w:t>
      </w:r>
    </w:p>
    <w:p w:rsidR="00E94B8F" w:rsidRPr="00E94B8F" w:rsidRDefault="00E94B8F" w:rsidP="00E94B8F">
      <w:pPr>
        <w:pStyle w:val="ae"/>
        <w:rPr>
          <w:rFonts w:ascii="Arial" w:hAnsi="Arial"/>
          <w:rtl/>
        </w:rPr>
      </w:pPr>
    </w:p>
    <w:p w:rsidR="00E94B8F" w:rsidRPr="009E2FA4" w:rsidRDefault="00E94B8F" w:rsidP="00E94B8F">
      <w:pPr>
        <w:pStyle w:val="ae"/>
        <w:spacing w:line="360" w:lineRule="auto"/>
        <w:jc w:val="both"/>
        <w:rPr>
          <w:rFonts w:ascii="Arial" w:hAnsi="Arial"/>
          <w:rtl/>
        </w:rPr>
      </w:pPr>
    </w:p>
    <w:p w:rsidR="00A20139" w:rsidRPr="009E2FA4" w:rsidRDefault="00A20139" w:rsidP="009E2FA4">
      <w:pPr>
        <w:pStyle w:val="ae"/>
        <w:numPr>
          <w:ilvl w:val="0"/>
          <w:numId w:val="2"/>
        </w:numPr>
        <w:spacing w:line="360" w:lineRule="auto"/>
        <w:jc w:val="both"/>
        <w:rPr>
          <w:rFonts w:ascii="Arial" w:hAnsi="Arial"/>
          <w:noProof w:val="0"/>
        </w:rPr>
      </w:pPr>
      <w:r w:rsidRPr="009E2FA4">
        <w:rPr>
          <w:rFonts w:ascii="Arial" w:hAnsi="Arial"/>
          <w:rtl/>
        </w:rPr>
        <w:lastRenderedPageBreak/>
        <w:t xml:space="preserve">עיינתי בבקשת האישור ובבקשה האישית של המבקש, כמו גם בבקשת ההסתלקות, ומצאתי </w:t>
      </w:r>
      <w:r w:rsidR="001775F5" w:rsidRPr="009E2FA4">
        <w:rPr>
          <w:rFonts w:ascii="Arial" w:hAnsi="Arial" w:hint="cs"/>
          <w:rtl/>
        </w:rPr>
        <w:t xml:space="preserve">כי זו </w:t>
      </w:r>
      <w:r w:rsidRPr="009E2FA4">
        <w:rPr>
          <w:rFonts w:ascii="Arial" w:hAnsi="Arial"/>
          <w:rtl/>
        </w:rPr>
        <w:t>עומדת בתנאי סע' 16 לחוק.</w:t>
      </w:r>
    </w:p>
    <w:p w:rsidR="00E94B8F" w:rsidRDefault="00E94B8F" w:rsidP="00E94B8F">
      <w:pPr>
        <w:pStyle w:val="ae"/>
        <w:spacing w:line="360" w:lineRule="auto"/>
        <w:jc w:val="both"/>
        <w:rPr>
          <w:rFonts w:ascii="Arial" w:hAnsi="Arial"/>
        </w:rPr>
      </w:pPr>
    </w:p>
    <w:p w:rsidR="00A20139" w:rsidRPr="009E2FA4" w:rsidRDefault="00A20139" w:rsidP="009E2FA4">
      <w:pPr>
        <w:pStyle w:val="ae"/>
        <w:numPr>
          <w:ilvl w:val="0"/>
          <w:numId w:val="2"/>
        </w:numPr>
        <w:spacing w:line="360" w:lineRule="auto"/>
        <w:jc w:val="both"/>
        <w:rPr>
          <w:rFonts w:ascii="Arial" w:hAnsi="Arial"/>
          <w:rtl/>
        </w:rPr>
      </w:pPr>
      <w:r w:rsidRPr="009E2FA4">
        <w:rPr>
          <w:rFonts w:ascii="Arial" w:hAnsi="Arial"/>
          <w:rtl/>
        </w:rPr>
        <w:t>בהקשר זה מצאתי כי התקיימה עילת תביעה לכאורה, כפי שמצאתי כי בהגשת התובענה הייצוגית יש משום תועלת לחברי הקבוצה.</w:t>
      </w:r>
    </w:p>
    <w:p w:rsidR="00E94B8F" w:rsidRDefault="00E94B8F" w:rsidP="00E94B8F">
      <w:pPr>
        <w:pStyle w:val="ae"/>
        <w:spacing w:line="360" w:lineRule="auto"/>
        <w:jc w:val="both"/>
        <w:rPr>
          <w:rFonts w:ascii="Arial" w:hAnsi="Arial"/>
        </w:rPr>
      </w:pPr>
    </w:p>
    <w:p w:rsidR="00A20139" w:rsidRPr="009E2FA4" w:rsidRDefault="00A20139" w:rsidP="009E2FA4">
      <w:pPr>
        <w:pStyle w:val="ae"/>
        <w:numPr>
          <w:ilvl w:val="0"/>
          <w:numId w:val="2"/>
        </w:numPr>
        <w:spacing w:line="360" w:lineRule="auto"/>
        <w:jc w:val="both"/>
        <w:rPr>
          <w:rFonts w:ascii="Arial" w:hAnsi="Arial"/>
          <w:rtl/>
        </w:rPr>
      </w:pPr>
      <w:r w:rsidRPr="009E2FA4">
        <w:rPr>
          <w:rFonts w:ascii="Arial" w:hAnsi="Arial"/>
          <w:rtl/>
        </w:rPr>
        <w:t>זאת, בשים לב, בין היתר, לאמור לעיל בדבר הנגשת מערכת נתב השיחות לאלתר, באופן שמציג שיפור של ממש במצבם של חברי הקבוצה ופתרון טכנולוגי ראוי, ובשים לב לכך שאין באישור ההסתלקות דנן משום מעשה בית דין אלא כלפי המבקש עצמו.</w:t>
      </w:r>
    </w:p>
    <w:p w:rsidR="00E94B8F" w:rsidRDefault="00E94B8F" w:rsidP="00E94B8F">
      <w:pPr>
        <w:pStyle w:val="ae"/>
        <w:spacing w:line="360" w:lineRule="auto"/>
        <w:jc w:val="both"/>
        <w:rPr>
          <w:rFonts w:ascii="Arial" w:hAnsi="Arial"/>
        </w:rPr>
      </w:pPr>
    </w:p>
    <w:p w:rsidR="00A20139" w:rsidRPr="009E2FA4" w:rsidRDefault="00A20139" w:rsidP="009E2FA4">
      <w:pPr>
        <w:pStyle w:val="ae"/>
        <w:numPr>
          <w:ilvl w:val="0"/>
          <w:numId w:val="2"/>
        </w:numPr>
        <w:spacing w:line="360" w:lineRule="auto"/>
        <w:jc w:val="both"/>
        <w:rPr>
          <w:rFonts w:ascii="Arial" w:hAnsi="Arial"/>
          <w:rtl/>
        </w:rPr>
      </w:pPr>
      <w:r w:rsidRPr="009E2FA4">
        <w:rPr>
          <w:rFonts w:ascii="Arial" w:hAnsi="Arial"/>
          <w:rtl/>
        </w:rPr>
        <w:t>באשר למינוי מבקש או ב"כ חלופי, בשים לב לשלב בו מצויה התובענה (טרם אישור התובענה כתובענה ייצוגית), בשים לב למחדל הנטען ולתיקונו ע"י הנתבעת</w:t>
      </w:r>
      <w:r w:rsidR="00F44DA9" w:rsidRPr="009E2FA4">
        <w:rPr>
          <w:rFonts w:ascii="Arial" w:hAnsi="Arial" w:hint="cs"/>
          <w:rtl/>
        </w:rPr>
        <w:t>,</w:t>
      </w:r>
      <w:r w:rsidRPr="009E2FA4">
        <w:rPr>
          <w:rFonts w:ascii="Arial" w:hAnsi="Arial"/>
          <w:rtl/>
        </w:rPr>
        <w:t xml:space="preserve"> הרי שהתועלת הצפויה לקבוצה נמוכה והיא אינה מצדיקה השקעת משאבים ועלויות שעשויות להיות ניכרות באיתורו של תובע או ב"כ חלופי. </w:t>
      </w:r>
    </w:p>
    <w:p w:rsidR="00E94B8F" w:rsidRDefault="00E94B8F" w:rsidP="00E94B8F">
      <w:pPr>
        <w:pStyle w:val="ae"/>
        <w:spacing w:line="360" w:lineRule="auto"/>
        <w:jc w:val="both"/>
        <w:rPr>
          <w:rFonts w:ascii="Arial" w:hAnsi="Arial"/>
        </w:rPr>
      </w:pPr>
    </w:p>
    <w:p w:rsidR="00A20139" w:rsidRDefault="00A20139" w:rsidP="009E2FA4">
      <w:pPr>
        <w:pStyle w:val="ae"/>
        <w:numPr>
          <w:ilvl w:val="0"/>
          <w:numId w:val="2"/>
        </w:numPr>
        <w:spacing w:line="360" w:lineRule="auto"/>
        <w:jc w:val="both"/>
        <w:rPr>
          <w:rFonts w:ascii="Arial" w:hAnsi="Arial"/>
        </w:rPr>
      </w:pPr>
      <w:r w:rsidRPr="009E2FA4">
        <w:rPr>
          <w:rFonts w:ascii="Arial" w:hAnsi="Arial"/>
          <w:rtl/>
        </w:rPr>
        <w:t xml:space="preserve">בנסיבות העניין </w:t>
      </w:r>
      <w:r w:rsidR="00F44DA9" w:rsidRPr="009E2FA4">
        <w:rPr>
          <w:rFonts w:ascii="Arial" w:hAnsi="Arial" w:hint="cs"/>
          <w:rtl/>
        </w:rPr>
        <w:t>ובשים לב לכך</w:t>
      </w:r>
      <w:r w:rsidRPr="009E2FA4">
        <w:rPr>
          <w:rFonts w:ascii="Arial" w:hAnsi="Arial"/>
          <w:rtl/>
        </w:rPr>
        <w:t xml:space="preserve"> שההסתלקות אינה יוצרת מעשה בית דין אלא באשר למבקש עצמו ובהינתן שרישום ההסתלקות ייעשה ממילא בפנקס התובענות הייצוגיות, כמו גם בשל הפנייה העתידית לכלל חברי הקבוצה, הרי שאינני מוצא צורך להורות על פרסום הודעה. בהקשר זה נתתי דעתי להוראות סעיף 16(ד)(1) לחוק, ולהוראות תקנה 11 לתק</w:t>
      </w:r>
      <w:r w:rsidR="00F44DA9" w:rsidRPr="009E2FA4">
        <w:rPr>
          <w:rFonts w:ascii="Arial" w:hAnsi="Arial"/>
          <w:rtl/>
        </w:rPr>
        <w:t>נות תובענות ייצוגיות, תש"ע-2010</w:t>
      </w:r>
      <w:r w:rsidR="00F44DA9" w:rsidRPr="009E2FA4">
        <w:rPr>
          <w:rFonts w:ascii="Arial" w:hAnsi="Arial" w:hint="cs"/>
          <w:rtl/>
        </w:rPr>
        <w:t xml:space="preserve"> (להלן: </w:t>
      </w:r>
      <w:r w:rsidR="00F44DA9" w:rsidRPr="009E2FA4">
        <w:rPr>
          <w:rFonts w:ascii="Arial" w:hAnsi="Arial" w:hint="cs"/>
          <w:b/>
          <w:bCs/>
          <w:rtl/>
        </w:rPr>
        <w:t>הת</w:t>
      </w:r>
      <w:r w:rsidR="00FB68AC" w:rsidRPr="009E2FA4">
        <w:rPr>
          <w:rFonts w:ascii="Arial" w:hAnsi="Arial" w:hint="cs"/>
          <w:b/>
          <w:bCs/>
          <w:rtl/>
        </w:rPr>
        <w:t>קנות</w:t>
      </w:r>
      <w:r w:rsidR="00FB68AC" w:rsidRPr="009E2FA4">
        <w:rPr>
          <w:rFonts w:ascii="Arial" w:hAnsi="Arial" w:hint="cs"/>
          <w:rtl/>
        </w:rPr>
        <w:t>),</w:t>
      </w:r>
      <w:r w:rsidRPr="009E2FA4">
        <w:rPr>
          <w:rFonts w:ascii="Arial" w:hAnsi="Arial"/>
          <w:rtl/>
        </w:rPr>
        <w:t xml:space="preserve"> כמו גם לע"א 1362-12, </w:t>
      </w:r>
      <w:r w:rsidRPr="009E2FA4">
        <w:rPr>
          <w:rFonts w:ascii="Arial" w:hAnsi="Arial"/>
          <w:b/>
          <w:bCs/>
          <w:rtl/>
        </w:rPr>
        <w:t>היועץ המשפטי לממשלה נ' סלקום ואח'</w:t>
      </w:r>
      <w:r w:rsidRPr="009E2FA4">
        <w:rPr>
          <w:rFonts w:ascii="Arial" w:hAnsi="Arial"/>
          <w:rtl/>
        </w:rPr>
        <w:t xml:space="preserve"> (נבו, 13.5.13), ומשכך, נחה דעתי כי פרסום לא יצמיח תועלת.</w:t>
      </w:r>
    </w:p>
    <w:p w:rsidR="00E94B8F" w:rsidRDefault="00E94B8F" w:rsidP="00E94B8F">
      <w:pPr>
        <w:spacing w:line="360" w:lineRule="auto"/>
        <w:jc w:val="both"/>
        <w:rPr>
          <w:rFonts w:ascii="Arial" w:hAnsi="Arial"/>
          <w:b/>
          <w:bCs/>
          <w:u w:val="single"/>
          <w:rtl/>
        </w:rPr>
      </w:pPr>
    </w:p>
    <w:p w:rsidR="00E94B8F" w:rsidRPr="00E94B8F" w:rsidRDefault="00E94B8F" w:rsidP="00E94B8F">
      <w:pPr>
        <w:spacing w:line="360" w:lineRule="auto"/>
        <w:jc w:val="both"/>
        <w:rPr>
          <w:rFonts w:ascii="Arial" w:hAnsi="Arial"/>
          <w:b/>
          <w:bCs/>
          <w:u w:val="single"/>
          <w:rtl/>
        </w:rPr>
      </w:pPr>
      <w:r w:rsidRPr="00E94B8F">
        <w:rPr>
          <w:rFonts w:ascii="Arial" w:hAnsi="Arial" w:hint="cs"/>
          <w:b/>
          <w:bCs/>
          <w:u w:val="single"/>
          <w:rtl/>
        </w:rPr>
        <w:t>שאלת הגמול והשכר הנאות וסוגיית הפנייה המוקדמת</w:t>
      </w:r>
    </w:p>
    <w:p w:rsidR="00F44DA9" w:rsidRPr="009E2FA4" w:rsidRDefault="00F44DA9" w:rsidP="009E2FA4">
      <w:pPr>
        <w:pStyle w:val="ae"/>
        <w:numPr>
          <w:ilvl w:val="0"/>
          <w:numId w:val="2"/>
        </w:numPr>
        <w:spacing w:line="360" w:lineRule="auto"/>
        <w:jc w:val="both"/>
        <w:rPr>
          <w:rFonts w:ascii="Arial" w:hAnsi="Arial"/>
          <w:rtl/>
        </w:rPr>
      </w:pPr>
      <w:r w:rsidRPr="009E2FA4">
        <w:rPr>
          <w:rFonts w:ascii="Arial" w:hAnsi="Arial" w:hint="cs"/>
          <w:rtl/>
        </w:rPr>
        <w:t>כעת אפנה לשאלת הגמול הנאות למבקש עצמו ולשכר טרחת בא כוחו. בעניין זה אציין כי עובר למתן פסק דין זה ביקשתי לברר האם נשלחה פנייה מוקדמת למשיבה.</w:t>
      </w:r>
      <w:r w:rsidR="009E2FA4" w:rsidRPr="009E2FA4">
        <w:rPr>
          <w:rFonts w:ascii="Arial" w:hAnsi="Arial" w:hint="cs"/>
          <w:rtl/>
        </w:rPr>
        <w:t xml:space="preserve"> </w:t>
      </w:r>
      <w:r w:rsidRPr="009E2FA4">
        <w:rPr>
          <w:rFonts w:ascii="Arial" w:hAnsi="Arial" w:hint="cs"/>
          <w:rtl/>
        </w:rPr>
        <w:t>בעניין זה הוגשה תשובת ב"כ המבקש, שלפיה, למיטב זכרונו נשלחה פנייה מקדימה, אולם לא עלה בידיו לאתרה.</w:t>
      </w:r>
    </w:p>
    <w:p w:rsidR="00E94B8F" w:rsidRDefault="00E94B8F" w:rsidP="00E94B8F">
      <w:pPr>
        <w:pStyle w:val="ae"/>
        <w:spacing w:line="360" w:lineRule="auto"/>
        <w:jc w:val="both"/>
        <w:rPr>
          <w:rFonts w:ascii="Arial" w:hAnsi="Arial"/>
        </w:rPr>
      </w:pPr>
    </w:p>
    <w:p w:rsidR="00F44DA9" w:rsidRPr="009E2FA4" w:rsidRDefault="009E2FA4" w:rsidP="009E2FA4">
      <w:pPr>
        <w:pStyle w:val="ae"/>
        <w:numPr>
          <w:ilvl w:val="0"/>
          <w:numId w:val="2"/>
        </w:numPr>
        <w:spacing w:line="360" w:lineRule="auto"/>
        <w:jc w:val="both"/>
        <w:rPr>
          <w:rFonts w:ascii="Arial" w:hAnsi="Arial"/>
          <w:rtl/>
        </w:rPr>
      </w:pPr>
      <w:r>
        <w:rPr>
          <w:rFonts w:ascii="Arial" w:hAnsi="Arial" w:hint="cs"/>
          <w:rtl/>
        </w:rPr>
        <w:t xml:space="preserve">ייאמר כבר כעת כי </w:t>
      </w:r>
      <w:r w:rsidR="00F44DA9" w:rsidRPr="009E2FA4">
        <w:rPr>
          <w:rFonts w:ascii="Arial" w:hAnsi="Arial" w:hint="cs"/>
          <w:rtl/>
        </w:rPr>
        <w:t>משענייננו בהליך אזרחי, הרי שהנטל מוטל על המבקש להוכיח כי פנה פנייה מוקדמת למשיבה.</w:t>
      </w:r>
    </w:p>
    <w:p w:rsidR="00E94B8F" w:rsidRDefault="00E94B8F" w:rsidP="00E94B8F">
      <w:pPr>
        <w:pStyle w:val="ae"/>
        <w:spacing w:line="360" w:lineRule="auto"/>
        <w:jc w:val="both"/>
        <w:rPr>
          <w:rFonts w:ascii="Arial" w:hAnsi="Arial"/>
        </w:rPr>
      </w:pPr>
    </w:p>
    <w:p w:rsidR="00AB5D65" w:rsidRPr="009E2FA4" w:rsidRDefault="00F44DA9" w:rsidP="009E2FA4">
      <w:pPr>
        <w:pStyle w:val="ae"/>
        <w:numPr>
          <w:ilvl w:val="0"/>
          <w:numId w:val="2"/>
        </w:numPr>
        <w:spacing w:line="360" w:lineRule="auto"/>
        <w:jc w:val="both"/>
        <w:rPr>
          <w:rFonts w:ascii="Arial" w:hAnsi="Arial"/>
          <w:rtl/>
        </w:rPr>
      </w:pPr>
      <w:r w:rsidRPr="009E2FA4">
        <w:rPr>
          <w:rFonts w:ascii="Arial" w:hAnsi="Arial" w:hint="cs"/>
          <w:rtl/>
        </w:rPr>
        <w:lastRenderedPageBreak/>
        <w:t>לא זו אף זו: דומה כי לו היתה נשלחת פנייה מוקדמת, במיוחד כאשר נטען כי הנזק לציבור מוערך בסך כולל של 2,000,000 ₪, הרי שיש לשער כי המשיבה היתה מתקנת דרכיה ומסדירה את הדרוש הסדרה בהתאם להוראות החוק והתקנות</w:t>
      </w:r>
      <w:r w:rsidR="00FB68AC" w:rsidRPr="009E2FA4">
        <w:rPr>
          <w:rFonts w:ascii="Arial" w:hAnsi="Arial" w:hint="cs"/>
          <w:rtl/>
        </w:rPr>
        <w:t xml:space="preserve">, ללא צורך בניהול הליך משפטי. אמנם במקרה כזה עלול היה המבקש לצאת כשידיו על התחתונה, כאשר מצד אחד פעל פעולתו ודאג לאינטרס הציבורי של הנגשת מערכות כמו זו של המשיבה, ומאידך גיסא לא היה זוכה לכל תגמול בגין פעולה זו, כיוון שהמשיבה היתה מסדירה את הדרוש הסדרה עובר להגשת הליך משפטי כלפיה. </w:t>
      </w:r>
    </w:p>
    <w:p w:rsidR="00E94B8F" w:rsidRDefault="00E94B8F" w:rsidP="00E94B8F">
      <w:pPr>
        <w:pStyle w:val="ae"/>
        <w:spacing w:line="360" w:lineRule="auto"/>
        <w:jc w:val="both"/>
        <w:rPr>
          <w:rFonts w:ascii="Arial" w:hAnsi="Arial"/>
        </w:rPr>
      </w:pPr>
    </w:p>
    <w:p w:rsidR="003376A7" w:rsidRPr="009E2FA4" w:rsidRDefault="00FB68AC" w:rsidP="009E2FA4">
      <w:pPr>
        <w:pStyle w:val="ae"/>
        <w:numPr>
          <w:ilvl w:val="0"/>
          <w:numId w:val="2"/>
        </w:numPr>
        <w:spacing w:line="360" w:lineRule="auto"/>
        <w:jc w:val="both"/>
        <w:rPr>
          <w:rFonts w:ascii="Arial" w:hAnsi="Arial"/>
          <w:rtl/>
        </w:rPr>
      </w:pPr>
      <w:r w:rsidRPr="009E2FA4">
        <w:rPr>
          <w:rFonts w:ascii="Arial" w:hAnsi="Arial" w:hint="cs"/>
          <w:rtl/>
        </w:rPr>
        <w:t xml:space="preserve">בשולי עניין זה אעיר כי </w:t>
      </w:r>
      <w:r w:rsidR="00AB5D65" w:rsidRPr="009E2FA4">
        <w:rPr>
          <w:rFonts w:ascii="Arial" w:hAnsi="Arial" w:hint="cs"/>
          <w:rtl/>
        </w:rPr>
        <w:t xml:space="preserve">החוק איננו </w:t>
      </w:r>
      <w:r w:rsidR="00262B00" w:rsidRPr="009E2FA4">
        <w:rPr>
          <w:rFonts w:ascii="Arial" w:hAnsi="Arial" w:hint="cs"/>
          <w:rtl/>
        </w:rPr>
        <w:t>מטיל היום חובה על</w:t>
      </w:r>
      <w:r w:rsidR="00AB5D65" w:rsidRPr="009E2FA4">
        <w:rPr>
          <w:rFonts w:ascii="Arial" w:hAnsi="Arial" w:hint="cs"/>
          <w:rtl/>
        </w:rPr>
        <w:t xml:space="preserve"> המבקש ל</w:t>
      </w:r>
      <w:r w:rsidR="00262B00" w:rsidRPr="009E2FA4">
        <w:rPr>
          <w:rFonts w:ascii="Arial" w:hAnsi="Arial" w:hint="cs"/>
          <w:rtl/>
        </w:rPr>
        <w:t>בצע</w:t>
      </w:r>
      <w:r w:rsidR="00AB5D65" w:rsidRPr="009E2FA4">
        <w:rPr>
          <w:rFonts w:ascii="Arial" w:hAnsi="Arial" w:hint="cs"/>
          <w:rtl/>
        </w:rPr>
        <w:t xml:space="preserve"> פנייה מוקדמת למשיב. עם זאת, בתי המשפט הכירו בכך שגם בגדר הדין הקיים, העדר פנייה מוקדמת עשוי לעלות כדי חוסר תום לב במקרה שבו היה מקום לעריכת פנייה מוקדמת</w:t>
      </w:r>
      <w:r w:rsidR="003376A7" w:rsidRPr="009E2FA4">
        <w:rPr>
          <w:rFonts w:ascii="Arial" w:hAnsi="Arial" w:hint="cs"/>
          <w:rtl/>
        </w:rPr>
        <w:t xml:space="preserve"> (דנ"מ 5519/15 </w:t>
      </w:r>
      <w:r w:rsidR="003376A7" w:rsidRPr="009E2FA4">
        <w:rPr>
          <w:rFonts w:ascii="Arial" w:hAnsi="Arial" w:hint="cs"/>
          <w:b/>
          <w:bCs/>
          <w:rtl/>
        </w:rPr>
        <w:t xml:space="preserve">יוסף אחמד יונס נ' מי הגליל </w:t>
      </w:r>
      <w:r w:rsidR="00262B00" w:rsidRPr="009E2FA4">
        <w:rPr>
          <w:rFonts w:ascii="Arial" w:hAnsi="Arial" w:hint="cs"/>
          <w:b/>
          <w:bCs/>
          <w:rtl/>
        </w:rPr>
        <w:t>ת</w:t>
      </w:r>
      <w:r w:rsidR="003376A7" w:rsidRPr="009E2FA4">
        <w:rPr>
          <w:rFonts w:ascii="Arial" w:hAnsi="Arial" w:hint="cs"/>
          <w:b/>
          <w:bCs/>
          <w:rtl/>
        </w:rPr>
        <w:t xml:space="preserve">אגיד המים והביוב האזורי בע"מ </w:t>
      </w:r>
      <w:r w:rsidR="003376A7" w:rsidRPr="009E2FA4">
        <w:rPr>
          <w:rFonts w:ascii="Arial" w:hAnsi="Arial" w:hint="cs"/>
          <w:rtl/>
        </w:rPr>
        <w:t>(17.12.2019</w:t>
      </w:r>
      <w:r w:rsidR="00262B00" w:rsidRPr="009E2FA4">
        <w:rPr>
          <w:rFonts w:ascii="Arial" w:hAnsi="Arial" w:hint="cs"/>
          <w:rtl/>
        </w:rPr>
        <w:t>, פסקה 38 לפסק דינה של כב' הנשיאה חיות)</w:t>
      </w:r>
      <w:r w:rsidR="009E2FA4">
        <w:rPr>
          <w:rFonts w:ascii="Arial" w:hAnsi="Arial" w:hint="cs"/>
          <w:rtl/>
        </w:rPr>
        <w:t>;</w:t>
      </w:r>
      <w:r w:rsidR="00262B00" w:rsidRPr="009E2FA4">
        <w:rPr>
          <w:rFonts w:ascii="Arial" w:hAnsi="Arial" w:hint="cs"/>
          <w:rtl/>
        </w:rPr>
        <w:t xml:space="preserve"> וכן ב</w:t>
      </w:r>
      <w:r w:rsidR="003376A7" w:rsidRPr="009E2FA4">
        <w:rPr>
          <w:rFonts w:ascii="Arial" w:hAnsi="Arial"/>
          <w:rtl/>
        </w:rPr>
        <w:t xml:space="preserve">ת"צ (מחוזי מרכז) 36086-07-11 </w:t>
      </w:r>
      <w:r w:rsidR="003376A7" w:rsidRPr="009E2FA4">
        <w:rPr>
          <w:rFonts w:ascii="Arial" w:hAnsi="Arial"/>
          <w:b/>
          <w:bCs/>
          <w:rtl/>
        </w:rPr>
        <w:t>עו״ד אסף חרסט נ' ידיעות אינטרנט (שותפות רשומה)</w:t>
      </w:r>
      <w:r w:rsidR="003376A7" w:rsidRPr="009E2FA4">
        <w:rPr>
          <w:rFonts w:ascii="Arial" w:hAnsi="Arial" w:hint="cs"/>
          <w:b/>
          <w:bCs/>
          <w:rtl/>
        </w:rPr>
        <w:t xml:space="preserve"> ואח'</w:t>
      </w:r>
      <w:r w:rsidR="00262B00" w:rsidRPr="009E2FA4">
        <w:rPr>
          <w:rFonts w:ascii="Arial" w:hAnsi="Arial"/>
          <w:rtl/>
        </w:rPr>
        <w:t xml:space="preserve"> (19.09.2012</w:t>
      </w:r>
      <w:r w:rsidR="00262B00" w:rsidRPr="009E2FA4">
        <w:rPr>
          <w:rFonts w:ascii="Arial" w:hAnsi="Arial" w:hint="cs"/>
          <w:rtl/>
        </w:rPr>
        <w:t xml:space="preserve">, </w:t>
      </w:r>
      <w:r w:rsidR="003376A7" w:rsidRPr="009E2FA4">
        <w:rPr>
          <w:rFonts w:ascii="Arial" w:hAnsi="Arial"/>
          <w:rtl/>
        </w:rPr>
        <w:t>פס</w:t>
      </w:r>
      <w:r w:rsidR="00262B00" w:rsidRPr="009E2FA4">
        <w:rPr>
          <w:rFonts w:ascii="Arial" w:hAnsi="Arial" w:hint="cs"/>
          <w:rtl/>
        </w:rPr>
        <w:t>' 29-30 לפסק דינו של כב' השופט גרוסקופף).</w:t>
      </w:r>
    </w:p>
    <w:p w:rsidR="00E94B8F" w:rsidRDefault="00E94B8F" w:rsidP="00E94B8F">
      <w:pPr>
        <w:pStyle w:val="ae"/>
        <w:spacing w:line="360" w:lineRule="auto"/>
        <w:jc w:val="both"/>
        <w:rPr>
          <w:rFonts w:ascii="Arial" w:hAnsi="Arial"/>
        </w:rPr>
      </w:pPr>
    </w:p>
    <w:p w:rsidR="00FB68AC" w:rsidRPr="009E2FA4" w:rsidRDefault="00262B00" w:rsidP="009E2FA4">
      <w:pPr>
        <w:pStyle w:val="ae"/>
        <w:numPr>
          <w:ilvl w:val="0"/>
          <w:numId w:val="2"/>
        </w:numPr>
        <w:spacing w:line="360" w:lineRule="auto"/>
        <w:jc w:val="both"/>
        <w:rPr>
          <w:rFonts w:ascii="Arial" w:hAnsi="Arial"/>
          <w:rtl/>
        </w:rPr>
      </w:pPr>
      <w:r w:rsidRPr="009E2FA4">
        <w:rPr>
          <w:rFonts w:ascii="Arial" w:hAnsi="Arial" w:hint="cs"/>
          <w:rtl/>
        </w:rPr>
        <w:t xml:space="preserve">יתירה מכך, העדר פנייה מוקדמת </w:t>
      </w:r>
      <w:r w:rsidR="00AB5D65" w:rsidRPr="009E2FA4">
        <w:rPr>
          <w:rFonts w:ascii="Arial" w:hAnsi="Arial" w:hint="cs"/>
          <w:rtl/>
        </w:rPr>
        <w:t>יכול להשפיע על השיקולים הא</w:t>
      </w:r>
      <w:r w:rsidR="003376A7" w:rsidRPr="009E2FA4">
        <w:rPr>
          <w:rFonts w:ascii="Arial" w:hAnsi="Arial" w:hint="cs"/>
          <w:rtl/>
        </w:rPr>
        <w:t>ם</w:t>
      </w:r>
      <w:r w:rsidR="00AB5D65" w:rsidRPr="009E2FA4">
        <w:rPr>
          <w:rFonts w:ascii="Arial" w:hAnsi="Arial" w:hint="cs"/>
          <w:rtl/>
        </w:rPr>
        <w:t xml:space="preserve"> לאשר את התובענה כייצוגית, ואף עשוי להשפיע במישור פסיקת שכר הטרחה והגמול, כפי שנקבע </w:t>
      </w:r>
      <w:r w:rsidRPr="009E2FA4">
        <w:rPr>
          <w:rFonts w:ascii="David" w:hAnsi="David"/>
          <w:rtl/>
        </w:rPr>
        <w:t xml:space="preserve">בע"א 8114/14 </w:t>
      </w:r>
      <w:r w:rsidRPr="009E2FA4">
        <w:rPr>
          <w:rFonts w:ascii="David" w:hAnsi="David"/>
          <w:b/>
          <w:bCs/>
          <w:rtl/>
        </w:rPr>
        <w:t xml:space="preserve">מרקיט מוצרי ייעול בע"מ נ' סונול ישראל בע"מ </w:t>
      </w:r>
      <w:r w:rsidRPr="009E2FA4">
        <w:rPr>
          <w:rFonts w:ascii="David" w:hAnsi="David"/>
          <w:rtl/>
        </w:rPr>
        <w:t xml:space="preserve">(05.08.2018) פסקה </w:t>
      </w:r>
      <w:r w:rsidR="00D523DC" w:rsidRPr="009E2FA4">
        <w:rPr>
          <w:rFonts w:ascii="David" w:hAnsi="David" w:hint="cs"/>
          <w:rtl/>
        </w:rPr>
        <w:t>30</w:t>
      </w:r>
      <w:r w:rsidRPr="009E2FA4">
        <w:rPr>
          <w:rFonts w:ascii="David" w:hAnsi="David"/>
          <w:rtl/>
        </w:rPr>
        <w:t xml:space="preserve"> לפסק דינה של כב</w:t>
      </w:r>
      <w:r w:rsidR="00D523DC" w:rsidRPr="009E2FA4">
        <w:rPr>
          <w:rFonts w:ascii="David" w:hAnsi="David" w:hint="cs"/>
          <w:rtl/>
        </w:rPr>
        <w:t xml:space="preserve">' </w:t>
      </w:r>
      <w:r w:rsidRPr="009E2FA4">
        <w:rPr>
          <w:rFonts w:ascii="David" w:hAnsi="David"/>
          <w:rtl/>
        </w:rPr>
        <w:t>השופטת ברון</w:t>
      </w:r>
      <w:r w:rsidR="00AB5D65" w:rsidRPr="009E2FA4">
        <w:rPr>
          <w:rFonts w:ascii="Arial" w:hAnsi="Arial" w:hint="cs"/>
          <w:rtl/>
        </w:rPr>
        <w:t>:</w:t>
      </w:r>
    </w:p>
    <w:p w:rsidR="00AB5D65" w:rsidRPr="00AB5D65" w:rsidRDefault="00AB5D65" w:rsidP="009E2FA4">
      <w:pPr>
        <w:spacing w:line="360" w:lineRule="auto"/>
        <w:ind w:left="1440"/>
        <w:jc w:val="both"/>
        <w:rPr>
          <w:rFonts w:ascii="Arial" w:hAnsi="Arial"/>
          <w:b/>
          <w:bCs/>
          <w:rtl/>
        </w:rPr>
      </w:pPr>
      <w:r w:rsidRPr="00AB5D65">
        <w:rPr>
          <w:rFonts w:ascii="Arial" w:hAnsi="Arial"/>
          <w:b/>
          <w:bCs/>
          <w:rtl/>
        </w:rPr>
        <w:t>"על פניו היעדר פנייה מוקדמת עשוי להוות שיקול רלוונטי במכלול השיקולים לפסיקת גמול ושכר טרחה – וזאת באותם מקרים שבהם ברור כי אילו נעשתה פנייה כאמור, ניתן היה לחסוך את ההליך כולו."</w:t>
      </w:r>
    </w:p>
    <w:p w:rsidR="00F44DA9" w:rsidRPr="00AB5D65" w:rsidRDefault="00AB5D65" w:rsidP="009E2FA4">
      <w:pPr>
        <w:spacing w:line="360" w:lineRule="auto"/>
        <w:ind w:firstLine="720"/>
        <w:jc w:val="both"/>
        <w:rPr>
          <w:rFonts w:ascii="Arial" w:hAnsi="Arial"/>
          <w:rtl/>
        </w:rPr>
      </w:pPr>
      <w:r w:rsidRPr="00AB5D65">
        <w:rPr>
          <w:rFonts w:ascii="Arial" w:hAnsi="Arial" w:hint="cs"/>
          <w:rtl/>
        </w:rPr>
        <w:t xml:space="preserve">לטעמי, דברים אלו נכונים </w:t>
      </w:r>
      <w:r w:rsidR="009E2FA4">
        <w:rPr>
          <w:rFonts w:ascii="Arial" w:hAnsi="Arial" w:hint="cs"/>
          <w:rtl/>
        </w:rPr>
        <w:t xml:space="preserve">ויפים </w:t>
      </w:r>
      <w:r w:rsidRPr="00AB5D65">
        <w:rPr>
          <w:rFonts w:ascii="Arial" w:hAnsi="Arial" w:hint="cs"/>
          <w:rtl/>
        </w:rPr>
        <w:t xml:space="preserve">גם </w:t>
      </w:r>
      <w:r w:rsidR="009E2FA4">
        <w:rPr>
          <w:rFonts w:ascii="Arial" w:hAnsi="Arial" w:hint="cs"/>
          <w:rtl/>
        </w:rPr>
        <w:t>ל</w:t>
      </w:r>
      <w:r w:rsidRPr="00AB5D65">
        <w:rPr>
          <w:rFonts w:ascii="Arial" w:hAnsi="Arial" w:hint="cs"/>
          <w:rtl/>
        </w:rPr>
        <w:t>ענייננו.</w:t>
      </w:r>
      <w:r w:rsidR="00F44DA9" w:rsidRPr="00AB5D65">
        <w:rPr>
          <w:rFonts w:ascii="Arial" w:hAnsi="Arial" w:hint="cs"/>
          <w:rtl/>
        </w:rPr>
        <w:t xml:space="preserve"> </w:t>
      </w:r>
    </w:p>
    <w:p w:rsidR="00E94B8F" w:rsidRDefault="00E94B8F" w:rsidP="00E94B8F">
      <w:pPr>
        <w:pStyle w:val="ae"/>
        <w:spacing w:line="360" w:lineRule="auto"/>
        <w:jc w:val="both"/>
        <w:rPr>
          <w:rFonts w:ascii="Arial" w:hAnsi="Arial"/>
        </w:rPr>
      </w:pPr>
    </w:p>
    <w:p w:rsidR="00A20139" w:rsidRPr="009E2FA4" w:rsidRDefault="00D523DC" w:rsidP="009E2FA4">
      <w:pPr>
        <w:pStyle w:val="ae"/>
        <w:numPr>
          <w:ilvl w:val="0"/>
          <w:numId w:val="2"/>
        </w:numPr>
        <w:spacing w:line="360" w:lineRule="auto"/>
        <w:jc w:val="both"/>
        <w:rPr>
          <w:rFonts w:ascii="Arial" w:hAnsi="Arial"/>
          <w:rtl/>
        </w:rPr>
      </w:pPr>
      <w:r w:rsidRPr="009E2FA4">
        <w:rPr>
          <w:rFonts w:ascii="Arial" w:hAnsi="Arial" w:hint="cs"/>
          <w:rtl/>
        </w:rPr>
        <w:t xml:space="preserve">עוד בשולי עניין זה אעיר כי נתתי דעתי גם להמלצות הצוות הבין-משרדי לבחינת ההסדרים הקבועים בחוק תובענות ייצוגיות, התשס"ו-2006, מחודש מרץ 2023, בראשות המשנה ליועצת המשפטית לממשלה (אזרחי), גב' כרמית יוליס, ובכלל זה לחלופות השונות </w:t>
      </w:r>
      <w:r w:rsidR="009E2FA4">
        <w:rPr>
          <w:rFonts w:ascii="Arial" w:hAnsi="Arial" w:hint="cs"/>
          <w:rtl/>
        </w:rPr>
        <w:t xml:space="preserve">המוצעות להסדרת מקרהו של </w:t>
      </w:r>
      <w:r w:rsidRPr="009E2FA4">
        <w:rPr>
          <w:rFonts w:ascii="Arial" w:hAnsi="Arial" w:hint="cs"/>
          <w:rtl/>
        </w:rPr>
        <w:t>מבקש שלא פנה בפנייה מוקדמת למשיב (ר' בעמ' 9 לדו</w:t>
      </w:r>
      <w:r w:rsidR="00E34CA1" w:rsidRPr="009E2FA4">
        <w:rPr>
          <w:rFonts w:ascii="Arial" w:hAnsi="Arial" w:hint="cs"/>
          <w:rtl/>
        </w:rPr>
        <w:t>"ח, בתקציר המלצות הצוות, כאשר בכלל זה, קיימת התייחסות לקביעת מנגנון לפנייה מוקדמת, כמו גם בעמ' 61-62 לדו"ח).</w:t>
      </w:r>
    </w:p>
    <w:p w:rsidR="00E94B8F" w:rsidRDefault="00E94B8F" w:rsidP="00E94B8F">
      <w:pPr>
        <w:pStyle w:val="ae"/>
        <w:spacing w:line="360" w:lineRule="auto"/>
        <w:jc w:val="both"/>
        <w:rPr>
          <w:rFonts w:ascii="Arial" w:hAnsi="Arial"/>
        </w:rPr>
      </w:pPr>
    </w:p>
    <w:p w:rsidR="00E34CA1" w:rsidRPr="009E2FA4" w:rsidRDefault="00E34CA1" w:rsidP="009E2FA4">
      <w:pPr>
        <w:pStyle w:val="ae"/>
        <w:numPr>
          <w:ilvl w:val="0"/>
          <w:numId w:val="2"/>
        </w:numPr>
        <w:spacing w:line="360" w:lineRule="auto"/>
        <w:jc w:val="both"/>
        <w:rPr>
          <w:rFonts w:ascii="Arial" w:hAnsi="Arial"/>
          <w:rtl/>
        </w:rPr>
      </w:pPr>
      <w:r w:rsidRPr="009E2FA4">
        <w:rPr>
          <w:rFonts w:ascii="Arial" w:hAnsi="Arial" w:hint="cs"/>
          <w:rtl/>
        </w:rPr>
        <w:lastRenderedPageBreak/>
        <w:t xml:space="preserve">כפי שהבהרתי לעיל, נכון להיום אין התייחסות בחוק לחובת עריכת הפנייה המוקדמת. עם זאת, דומה כי הוראות תקנות סדר הדין האזרחי, תשע"ט-2018 (להלן: </w:t>
      </w:r>
      <w:r w:rsidRPr="009E2FA4">
        <w:rPr>
          <w:rFonts w:ascii="Arial" w:hAnsi="Arial" w:hint="cs"/>
          <w:b/>
          <w:bCs/>
          <w:rtl/>
        </w:rPr>
        <w:t>תקסד"א</w:t>
      </w:r>
      <w:r w:rsidRPr="009E2FA4">
        <w:rPr>
          <w:rFonts w:ascii="Arial" w:hAnsi="Arial" w:hint="cs"/>
          <w:rtl/>
        </w:rPr>
        <w:t>)</w:t>
      </w:r>
      <w:r w:rsidR="00DB4F35" w:rsidRPr="009E2FA4">
        <w:rPr>
          <w:rFonts w:ascii="Arial" w:hAnsi="Arial" w:hint="cs"/>
          <w:rtl/>
        </w:rPr>
        <w:t xml:space="preserve"> </w:t>
      </w:r>
      <w:r w:rsidRPr="009E2FA4">
        <w:rPr>
          <w:rFonts w:ascii="Arial" w:hAnsi="Arial" w:hint="cs"/>
          <w:rtl/>
        </w:rPr>
        <w:t>מגשימות תכלית זאת, כאשר תקנה 3(ב) לתק</w:t>
      </w:r>
      <w:r w:rsidR="00DB4F35" w:rsidRPr="009E2FA4">
        <w:rPr>
          <w:rFonts w:ascii="Arial" w:hAnsi="Arial" w:hint="cs"/>
          <w:rtl/>
        </w:rPr>
        <w:t>סד"א</w:t>
      </w:r>
      <w:r w:rsidRPr="009E2FA4">
        <w:rPr>
          <w:rFonts w:ascii="Arial" w:hAnsi="Arial" w:hint="cs"/>
          <w:rtl/>
        </w:rPr>
        <w:t xml:space="preserve"> קובעת את חובת </w:t>
      </w:r>
      <w:r w:rsidRPr="009E2FA4">
        <w:rPr>
          <w:rFonts w:ascii="Arial" w:hAnsi="Arial"/>
          <w:rtl/>
        </w:rPr>
        <w:t>בעלי הדין ובאי כוחם לנהוג בתום לב ובהגינות דיונית</w:t>
      </w:r>
      <w:r w:rsidRPr="009E2FA4">
        <w:rPr>
          <w:rFonts w:ascii="Arial" w:hAnsi="Arial" w:hint="cs"/>
          <w:rtl/>
        </w:rPr>
        <w:t xml:space="preserve">; </w:t>
      </w:r>
      <w:r w:rsidRPr="009E2FA4">
        <w:rPr>
          <w:rFonts w:ascii="Arial" w:hAnsi="Arial"/>
          <w:rtl/>
        </w:rPr>
        <w:t>תקנה 4 לתקסד"א אוסרת על שימוש לרעה בהליכי משפט, לרבות פעולה בלתי מידתית לאופי הדיון, לעלותו או למורכבותו</w:t>
      </w:r>
      <w:r w:rsidR="00DB4F35" w:rsidRPr="009E2FA4">
        <w:rPr>
          <w:rFonts w:ascii="Arial" w:hAnsi="Arial" w:hint="cs"/>
          <w:rtl/>
        </w:rPr>
        <w:t>; ו</w:t>
      </w:r>
      <w:r w:rsidRPr="009E2FA4">
        <w:rPr>
          <w:rFonts w:ascii="Arial" w:hAnsi="Arial"/>
          <w:rtl/>
        </w:rPr>
        <w:t>תקנה 5 לתקסד"א מחייבת את בית המשפט לערוך איזון אינטרסים על מנת לאפשר נגישות הציבור למערכת המשפט, קיום הליך צודק מהיר ויעיל תוך חיסכון במשאבי זמן ועלויות.</w:t>
      </w:r>
    </w:p>
    <w:p w:rsidR="00DB4F35" w:rsidRDefault="00DB4F35" w:rsidP="007E3419">
      <w:pPr>
        <w:spacing w:line="360" w:lineRule="auto"/>
        <w:ind w:left="720"/>
        <w:jc w:val="both"/>
        <w:rPr>
          <w:rFonts w:ascii="Arial" w:hAnsi="Arial"/>
          <w:rtl/>
        </w:rPr>
      </w:pPr>
      <w:r>
        <w:rPr>
          <w:rFonts w:ascii="Arial" w:hAnsi="Arial" w:hint="cs"/>
          <w:rtl/>
        </w:rPr>
        <w:t>בעניין זה אפנה לסקירתה המקיפה של כב' סגנית הנשיאה רנה הירש ב</w:t>
      </w:r>
      <w:r w:rsidRPr="00DB4F35">
        <w:rPr>
          <w:rFonts w:ascii="Arial" w:hAnsi="Arial"/>
          <w:rtl/>
        </w:rPr>
        <w:t xml:space="preserve">ת"צ 40399-05-23, </w:t>
      </w:r>
      <w:r w:rsidRPr="00DB4F35">
        <w:rPr>
          <w:rFonts w:ascii="Arial" w:hAnsi="Arial"/>
          <w:b/>
          <w:bCs/>
          <w:rtl/>
        </w:rPr>
        <w:t>יחיאל ברזילי נ' אסייתיקו זיו בע"מ</w:t>
      </w:r>
      <w:r>
        <w:rPr>
          <w:rFonts w:ascii="Arial" w:hAnsi="Arial" w:hint="cs"/>
          <w:b/>
          <w:bCs/>
          <w:rtl/>
        </w:rPr>
        <w:t xml:space="preserve"> </w:t>
      </w:r>
      <w:r w:rsidR="00636974" w:rsidRPr="00636974">
        <w:rPr>
          <w:rFonts w:ascii="Arial" w:hAnsi="Arial" w:hint="cs"/>
          <w:rtl/>
        </w:rPr>
        <w:t>(10.7.23)</w:t>
      </w:r>
      <w:r w:rsidR="00636974">
        <w:rPr>
          <w:rFonts w:ascii="Arial" w:hAnsi="Arial" w:hint="cs"/>
          <w:rtl/>
        </w:rPr>
        <w:t>, המקובלת עלי לחלוטין.</w:t>
      </w:r>
    </w:p>
    <w:p w:rsidR="00FF48F9" w:rsidRDefault="00FF48F9" w:rsidP="00DB4F35">
      <w:pPr>
        <w:spacing w:line="360" w:lineRule="auto"/>
        <w:jc w:val="both"/>
        <w:rPr>
          <w:rFonts w:ascii="Arial" w:hAnsi="Arial"/>
          <w:b/>
          <w:bCs/>
          <w:u w:val="single"/>
          <w:rtl/>
        </w:rPr>
      </w:pPr>
    </w:p>
    <w:p w:rsidR="00636974" w:rsidRPr="00F26609" w:rsidRDefault="00636974" w:rsidP="00DB4F35">
      <w:pPr>
        <w:spacing w:line="360" w:lineRule="auto"/>
        <w:jc w:val="both"/>
        <w:rPr>
          <w:rFonts w:ascii="Arial" w:hAnsi="Arial"/>
          <w:b/>
          <w:bCs/>
          <w:u w:val="single"/>
          <w:rtl/>
        </w:rPr>
      </w:pPr>
      <w:r w:rsidRPr="00F26609">
        <w:rPr>
          <w:rFonts w:ascii="Arial" w:hAnsi="Arial" w:hint="cs"/>
          <w:b/>
          <w:bCs/>
          <w:u w:val="single"/>
          <w:rtl/>
        </w:rPr>
        <w:t>מן הכלל אל הפרט</w:t>
      </w:r>
    </w:p>
    <w:p w:rsidR="00636974" w:rsidRPr="00E94B8F" w:rsidRDefault="00636974" w:rsidP="00E94B8F">
      <w:pPr>
        <w:pStyle w:val="ae"/>
        <w:numPr>
          <w:ilvl w:val="0"/>
          <w:numId w:val="2"/>
        </w:numPr>
        <w:spacing w:line="360" w:lineRule="auto"/>
        <w:jc w:val="both"/>
        <w:rPr>
          <w:rFonts w:ascii="Arial" w:hAnsi="Arial"/>
          <w:rtl/>
        </w:rPr>
      </w:pPr>
      <w:r w:rsidRPr="00E94B8F">
        <w:rPr>
          <w:rFonts w:ascii="Arial" w:hAnsi="Arial" w:hint="cs"/>
          <w:rtl/>
        </w:rPr>
        <w:t xml:space="preserve">בענייננו מדובר במבקש שהגיש </w:t>
      </w:r>
      <w:r w:rsidR="00E94B8F" w:rsidRPr="00E94B8F">
        <w:rPr>
          <w:rFonts w:ascii="Arial" w:hAnsi="Arial" w:hint="cs"/>
          <w:rtl/>
        </w:rPr>
        <w:t xml:space="preserve">בקשות דומות </w:t>
      </w:r>
      <w:r w:rsidRPr="00E94B8F">
        <w:rPr>
          <w:rFonts w:ascii="Arial" w:hAnsi="Arial" w:hint="cs"/>
          <w:rtl/>
        </w:rPr>
        <w:t>בהליכים רבים. בהקשר זה אעיר כי אינני מביע חלילה כל ביקורת על התנהלותו של המבקש, שרשאי לפעול על מנת להסדיר את הזכויות המגיעות לו על פי חוק</w:t>
      </w:r>
      <w:r w:rsidR="00F26609" w:rsidRPr="00E94B8F">
        <w:rPr>
          <w:rFonts w:ascii="Arial" w:hAnsi="Arial" w:hint="cs"/>
          <w:rtl/>
        </w:rPr>
        <w:t xml:space="preserve"> (ומותב זה אף מוקירו על כך)</w:t>
      </w:r>
      <w:r w:rsidRPr="00E94B8F">
        <w:rPr>
          <w:rFonts w:ascii="Arial" w:hAnsi="Arial" w:hint="cs"/>
          <w:rtl/>
        </w:rPr>
        <w:t xml:space="preserve">; </w:t>
      </w:r>
      <w:r w:rsidR="00F26609" w:rsidRPr="00E94B8F">
        <w:rPr>
          <w:rFonts w:ascii="Arial" w:hAnsi="Arial" w:hint="cs"/>
          <w:rtl/>
        </w:rPr>
        <w:t>אלא כל כוונתי להעיר ולהאיר כי כאשר ענייננו במבקש שזו אינה פנייתו היחידה לבית המשפט, ובשים לב לתשומות שנדרשות ממנו ומבא כוחו, הרי שדומה כי אין כל הצדקה לגמול ולשכר הטרחה המבוקש. הדברים אמורים במיוחד כאשר לא הוגש כתב תשובה בהליך שלפניי.</w:t>
      </w:r>
    </w:p>
    <w:p w:rsidR="00F26609" w:rsidRDefault="00F26609" w:rsidP="00E94B8F">
      <w:pPr>
        <w:spacing w:line="360" w:lineRule="auto"/>
        <w:ind w:left="720"/>
        <w:jc w:val="both"/>
        <w:rPr>
          <w:rFonts w:ascii="Arial" w:hAnsi="Arial"/>
          <w:rtl/>
        </w:rPr>
      </w:pPr>
      <w:r>
        <w:rPr>
          <w:rFonts w:ascii="Arial" w:hAnsi="Arial" w:hint="cs"/>
          <w:rtl/>
        </w:rPr>
        <w:t>משענייננו בהליך שלא הוכח כי בוצעה פנייה מוקדמת, שיתכן שהיתה מעוררת את המשיבה לתקן דרכיה עוברת להגשת ההליך ומייתרת את ניהולו של ההליך וחוסכת משאבים רבים וזמן שיפוטי ניכר, הרי שההצדקה לפסיקת גמול ושכר טרחה גבוהים קלושה יותר.</w:t>
      </w:r>
    </w:p>
    <w:p w:rsidR="00F26609" w:rsidRDefault="00F26609" w:rsidP="00636974">
      <w:pPr>
        <w:spacing w:line="360" w:lineRule="auto"/>
        <w:jc w:val="both"/>
        <w:rPr>
          <w:rFonts w:ascii="Arial" w:hAnsi="Arial"/>
          <w:rtl/>
        </w:rPr>
      </w:pPr>
    </w:p>
    <w:p w:rsidR="00F26609" w:rsidRPr="00F26609" w:rsidRDefault="00F26609" w:rsidP="00636974">
      <w:pPr>
        <w:spacing w:line="360" w:lineRule="auto"/>
        <w:jc w:val="both"/>
        <w:rPr>
          <w:rFonts w:ascii="Arial" w:hAnsi="Arial"/>
          <w:b/>
          <w:bCs/>
          <w:u w:val="single"/>
          <w:rtl/>
        </w:rPr>
      </w:pPr>
      <w:r w:rsidRPr="00F26609">
        <w:rPr>
          <w:rFonts w:ascii="Arial" w:hAnsi="Arial" w:hint="cs"/>
          <w:b/>
          <w:bCs/>
          <w:u w:val="single"/>
          <w:rtl/>
        </w:rPr>
        <w:t>סוף דבר</w:t>
      </w:r>
    </w:p>
    <w:p w:rsidR="00FF48F9" w:rsidRPr="00FF48F9" w:rsidRDefault="00E94B8F" w:rsidP="00E94B8F">
      <w:pPr>
        <w:pStyle w:val="a"/>
        <w:numPr>
          <w:ilvl w:val="0"/>
          <w:numId w:val="2"/>
        </w:numPr>
        <w:tabs>
          <w:tab w:val="left" w:pos="720"/>
        </w:tabs>
        <w:spacing w:before="120" w:after="0"/>
        <w:rPr>
          <w:rFonts w:ascii="David" w:hAnsi="David"/>
          <w:spacing w:val="0"/>
          <w:sz w:val="24"/>
        </w:rPr>
      </w:pPr>
      <w:r>
        <w:rPr>
          <w:rFonts w:ascii="David" w:hAnsi="David" w:hint="cs"/>
          <w:spacing w:val="0"/>
          <w:sz w:val="24"/>
          <w:rtl/>
        </w:rPr>
        <w:t xml:space="preserve">אשר על כן, </w:t>
      </w:r>
      <w:r w:rsidR="00FF48F9" w:rsidRPr="00FF48F9">
        <w:rPr>
          <w:rFonts w:ascii="David" w:hAnsi="David"/>
          <w:spacing w:val="0"/>
          <w:sz w:val="24"/>
          <w:rtl/>
        </w:rPr>
        <w:t xml:space="preserve">אני מאשר את בקשת ההסתלקות </w:t>
      </w:r>
      <w:r w:rsidR="00FF48F9" w:rsidRPr="00FF48F9">
        <w:rPr>
          <w:rFonts w:ascii="David" w:hAnsi="David" w:hint="cs"/>
          <w:spacing w:val="0"/>
          <w:sz w:val="24"/>
          <w:rtl/>
        </w:rPr>
        <w:t xml:space="preserve">של המבקש מבקשת האישור כנגד המשיבה, ומורה על דחיית תביעתו האישית כנגד המשיבה, וזאת ללא צו להוצאות. כן מורה על אישור ההסתלקות המתוגמלת </w:t>
      </w:r>
      <w:r w:rsidR="00FF48F9" w:rsidRPr="00FF48F9">
        <w:rPr>
          <w:rFonts w:ascii="David" w:hAnsi="David"/>
          <w:spacing w:val="0"/>
          <w:sz w:val="24"/>
          <w:rtl/>
        </w:rPr>
        <w:t>בהפחתת הסכומים המוסכמים כגמול ושכ"ט</w:t>
      </w:r>
      <w:r w:rsidR="00FF48F9" w:rsidRPr="00FF48F9">
        <w:rPr>
          <w:rFonts w:ascii="David" w:hAnsi="David" w:hint="cs"/>
          <w:spacing w:val="0"/>
          <w:sz w:val="24"/>
          <w:rtl/>
        </w:rPr>
        <w:t>; ו</w:t>
      </w:r>
      <w:r w:rsidR="00FF48F9" w:rsidRPr="00FF48F9">
        <w:rPr>
          <w:rFonts w:ascii="David" w:hAnsi="David"/>
          <w:spacing w:val="0"/>
          <w:sz w:val="24"/>
          <w:rtl/>
        </w:rPr>
        <w:t xml:space="preserve">אני מעמיד את הגמול למבקש על סך של </w:t>
      </w:r>
      <w:r w:rsidR="00FF48F9" w:rsidRPr="00FF48F9">
        <w:rPr>
          <w:rFonts w:ascii="David" w:hAnsi="David" w:hint="cs"/>
          <w:spacing w:val="0"/>
          <w:sz w:val="24"/>
          <w:rtl/>
        </w:rPr>
        <w:t>6</w:t>
      </w:r>
      <w:r w:rsidR="00FF48F9" w:rsidRPr="00FF48F9">
        <w:rPr>
          <w:rFonts w:ascii="David" w:hAnsi="David"/>
          <w:spacing w:val="0"/>
          <w:sz w:val="24"/>
          <w:rtl/>
        </w:rPr>
        <w:t xml:space="preserve">00 ₪ ואת שכ"ט עוה"ד על סך של </w:t>
      </w:r>
      <w:r w:rsidR="00FF48F9" w:rsidRPr="00FF48F9">
        <w:rPr>
          <w:rFonts w:ascii="David" w:hAnsi="David" w:hint="cs"/>
          <w:spacing w:val="0"/>
          <w:sz w:val="24"/>
          <w:rtl/>
        </w:rPr>
        <w:t>3</w:t>
      </w:r>
      <w:r w:rsidR="00FF48F9" w:rsidRPr="00FF48F9">
        <w:rPr>
          <w:rFonts w:ascii="David" w:hAnsi="David"/>
          <w:spacing w:val="0"/>
          <w:sz w:val="24"/>
          <w:rtl/>
        </w:rPr>
        <w:t xml:space="preserve">,000 ₪. </w:t>
      </w:r>
    </w:p>
    <w:p w:rsidR="00DB4F35" w:rsidRPr="00FF48F9" w:rsidRDefault="00DB4F35" w:rsidP="00DB4F35">
      <w:pPr>
        <w:spacing w:line="360" w:lineRule="auto"/>
        <w:jc w:val="both"/>
        <w:rPr>
          <w:rFonts w:ascii="Arial" w:hAnsi="Arial"/>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יולי 2023</w:t>
          </w:r>
        </w:sdtContent>
      </w:sdt>
      <w:r w:rsidR="00005C8B">
        <w:rPr>
          <w:rFonts w:ascii="Arial" w:hAnsi="Arial"/>
          <w:noProof w:val="0"/>
          <w:rtl/>
        </w:rPr>
        <w:t>, בהעדר הצדדים.</w:t>
      </w:r>
    </w:p>
    <w:p w:rsidR="00C43648" w:rsidRDefault="000E381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125066937"/>
        </w:sdtPr>
        <w:sdtEndPr/>
        <w:sdtContent>
          <w:r w:rsidR="00BC4A67">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811" w:rsidRDefault="000E3811">
      <w:r>
        <w:separator/>
      </w:r>
    </w:p>
  </w:endnote>
  <w:endnote w:type="continuationSeparator" w:id="0">
    <w:p w:rsidR="000E3811" w:rsidRDefault="000E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675F11">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675F11">
      <w:rPr>
        <w:rStyle w:val="ac"/>
        <w:rtl/>
      </w:rPr>
      <w:t>5</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811" w:rsidRDefault="000E3811">
      <w:r>
        <w:separator/>
      </w:r>
    </w:p>
  </w:footnote>
  <w:footnote w:type="continuationSeparator" w:id="0">
    <w:p w:rsidR="000E3811" w:rsidRDefault="000E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0E3811"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ת"צ</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40380-05-23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ברזילי נ' </w:t>
              </w:r>
              <w:proofErr w:type="spellStart"/>
              <w:r w:rsidR="00B859C5">
                <w:rPr>
                  <w:b/>
                  <w:bCs/>
                  <w:noProof w:val="0"/>
                  <w:sz w:val="26"/>
                  <w:szCs w:val="26"/>
                  <w:rtl/>
                </w:rPr>
                <w:t>מ.ס.ד</w:t>
              </w:r>
              <w:proofErr w:type="spellEnd"/>
              <w:r w:rsidR="00B859C5">
                <w:rPr>
                  <w:b/>
                  <w:bCs/>
                  <w:noProof w:val="0"/>
                  <w:sz w:val="26"/>
                  <w:szCs w:val="26"/>
                  <w:rtl/>
                </w:rPr>
                <w:t>. חיפה חברה למסחר בע"מ</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4"/>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259A2"/>
    <w:multiLevelType w:val="hybridMultilevel"/>
    <w:tmpl w:val="E52A0230"/>
    <w:lvl w:ilvl="0" w:tplc="9ED29018">
      <w:start w:val="1"/>
      <w:numFmt w:val="decimal"/>
      <w:pStyle w:val="a"/>
      <w:lvlText w:val="%1."/>
      <w:lvlJc w:val="left"/>
      <w:pPr>
        <w:tabs>
          <w:tab w:val="num" w:pos="8"/>
        </w:tabs>
        <w:ind w:left="720" w:hanging="360"/>
      </w:pPr>
      <w:rPr>
        <w:rFonts w:cs="David"/>
        <w:b w:val="0"/>
        <w:bCs w:val="0"/>
      </w:rPr>
    </w:lvl>
    <w:lvl w:ilvl="1" w:tplc="789C9CB6">
      <w:start w:val="1"/>
      <w:numFmt w:val="lowerLetter"/>
      <w:lvlText w:val="%2."/>
      <w:lvlJc w:val="left"/>
      <w:pPr>
        <w:tabs>
          <w:tab w:val="num" w:pos="1440"/>
        </w:tabs>
        <w:ind w:left="1440" w:hanging="360"/>
      </w:pPr>
      <w:rPr>
        <w:rFonts w:cs="Times New Roman"/>
      </w:rPr>
    </w:lvl>
    <w:lvl w:ilvl="2" w:tplc="807A6B74">
      <w:start w:val="1"/>
      <w:numFmt w:val="lowerRoman"/>
      <w:lvlText w:val="%3."/>
      <w:lvlJc w:val="right"/>
      <w:pPr>
        <w:tabs>
          <w:tab w:val="num" w:pos="2160"/>
        </w:tabs>
        <w:ind w:left="2160" w:hanging="180"/>
      </w:pPr>
      <w:rPr>
        <w:rFonts w:cs="Times New Roman"/>
      </w:rPr>
    </w:lvl>
    <w:lvl w:ilvl="3" w:tplc="D486B07E">
      <w:start w:val="1"/>
      <w:numFmt w:val="decimal"/>
      <w:lvlText w:val="%4."/>
      <w:lvlJc w:val="left"/>
      <w:pPr>
        <w:tabs>
          <w:tab w:val="num" w:pos="2880"/>
        </w:tabs>
        <w:ind w:left="2880" w:hanging="360"/>
      </w:pPr>
      <w:rPr>
        <w:rFonts w:cs="Times New Roman"/>
      </w:rPr>
    </w:lvl>
    <w:lvl w:ilvl="4" w:tplc="73B67620">
      <w:start w:val="1"/>
      <w:numFmt w:val="lowerLetter"/>
      <w:lvlText w:val="%5."/>
      <w:lvlJc w:val="left"/>
      <w:pPr>
        <w:tabs>
          <w:tab w:val="num" w:pos="3600"/>
        </w:tabs>
        <w:ind w:left="3600" w:hanging="360"/>
      </w:pPr>
      <w:rPr>
        <w:rFonts w:cs="Times New Roman"/>
      </w:rPr>
    </w:lvl>
    <w:lvl w:ilvl="5" w:tplc="13D8839E">
      <w:start w:val="1"/>
      <w:numFmt w:val="lowerRoman"/>
      <w:lvlText w:val="%6."/>
      <w:lvlJc w:val="right"/>
      <w:pPr>
        <w:tabs>
          <w:tab w:val="num" w:pos="4320"/>
        </w:tabs>
        <w:ind w:left="4320" w:hanging="180"/>
      </w:pPr>
      <w:rPr>
        <w:rFonts w:cs="Times New Roman"/>
      </w:rPr>
    </w:lvl>
    <w:lvl w:ilvl="6" w:tplc="D5F016E6">
      <w:start w:val="1"/>
      <w:numFmt w:val="decimal"/>
      <w:lvlText w:val="%7."/>
      <w:lvlJc w:val="left"/>
      <w:pPr>
        <w:tabs>
          <w:tab w:val="num" w:pos="5040"/>
        </w:tabs>
        <w:ind w:left="5040" w:hanging="360"/>
      </w:pPr>
      <w:rPr>
        <w:rFonts w:cs="Times New Roman"/>
      </w:rPr>
    </w:lvl>
    <w:lvl w:ilvl="7" w:tplc="B484CE32">
      <w:start w:val="1"/>
      <w:numFmt w:val="lowerLetter"/>
      <w:lvlText w:val="%8."/>
      <w:lvlJc w:val="left"/>
      <w:pPr>
        <w:tabs>
          <w:tab w:val="num" w:pos="5760"/>
        </w:tabs>
        <w:ind w:left="5760" w:hanging="360"/>
      </w:pPr>
      <w:rPr>
        <w:rFonts w:cs="Times New Roman"/>
      </w:rPr>
    </w:lvl>
    <w:lvl w:ilvl="8" w:tplc="E2987906">
      <w:start w:val="1"/>
      <w:numFmt w:val="lowerRoman"/>
      <w:lvlText w:val="%9."/>
      <w:lvlJc w:val="right"/>
      <w:pPr>
        <w:tabs>
          <w:tab w:val="num" w:pos="6480"/>
        </w:tabs>
        <w:ind w:left="6480" w:hanging="180"/>
      </w:pPr>
      <w:rPr>
        <w:rFonts w:cs="Times New Roman"/>
      </w:rPr>
    </w:lvl>
  </w:abstractNum>
  <w:abstractNum w:abstractNumId="1" w15:restartNumberingAfterBreak="0">
    <w:nsid w:val="778B5F7C"/>
    <w:multiLevelType w:val="hybridMultilevel"/>
    <w:tmpl w:val="79D211F8"/>
    <w:lvl w:ilvl="0" w:tplc="DE0AB65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811"/>
    <w:rsid w:val="000E3AF1"/>
    <w:rsid w:val="000F0BC8"/>
    <w:rsid w:val="000F0DD6"/>
    <w:rsid w:val="00107E6D"/>
    <w:rsid w:val="0011194C"/>
    <w:rsid w:val="0011424C"/>
    <w:rsid w:val="001173C6"/>
    <w:rsid w:val="00122A9F"/>
    <w:rsid w:val="001367BC"/>
    <w:rsid w:val="00144D2A"/>
    <w:rsid w:val="0014653E"/>
    <w:rsid w:val="001665BA"/>
    <w:rsid w:val="001775F5"/>
    <w:rsid w:val="00180519"/>
    <w:rsid w:val="00191C82"/>
    <w:rsid w:val="001C4003"/>
    <w:rsid w:val="001D4DBF"/>
    <w:rsid w:val="001E75CA"/>
    <w:rsid w:val="00214E75"/>
    <w:rsid w:val="002265FF"/>
    <w:rsid w:val="00262B00"/>
    <w:rsid w:val="00271B56"/>
    <w:rsid w:val="00272E32"/>
    <w:rsid w:val="002C344E"/>
    <w:rsid w:val="002E75E9"/>
    <w:rsid w:val="002F0B1E"/>
    <w:rsid w:val="00307A6A"/>
    <w:rsid w:val="00307C40"/>
    <w:rsid w:val="00320433"/>
    <w:rsid w:val="003230C7"/>
    <w:rsid w:val="00327E50"/>
    <w:rsid w:val="0033597A"/>
    <w:rsid w:val="003376A7"/>
    <w:rsid w:val="00343D89"/>
    <w:rsid w:val="00362612"/>
    <w:rsid w:val="003660EA"/>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36974"/>
    <w:rsid w:val="00644E9A"/>
    <w:rsid w:val="00671BD5"/>
    <w:rsid w:val="00675F11"/>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3419"/>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2FA4"/>
    <w:rsid w:val="009E461A"/>
    <w:rsid w:val="009E4EA5"/>
    <w:rsid w:val="009F164B"/>
    <w:rsid w:val="009F323C"/>
    <w:rsid w:val="00A20139"/>
    <w:rsid w:val="00A3392B"/>
    <w:rsid w:val="00A46717"/>
    <w:rsid w:val="00A85E34"/>
    <w:rsid w:val="00A9144F"/>
    <w:rsid w:val="00A94B64"/>
    <w:rsid w:val="00AA3229"/>
    <w:rsid w:val="00AA7596"/>
    <w:rsid w:val="00AB3AE3"/>
    <w:rsid w:val="00AB5D65"/>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C4A67"/>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23DC"/>
    <w:rsid w:val="00D53924"/>
    <w:rsid w:val="00D55D0C"/>
    <w:rsid w:val="00D703BC"/>
    <w:rsid w:val="00D96D8C"/>
    <w:rsid w:val="00DA6649"/>
    <w:rsid w:val="00DB4F35"/>
    <w:rsid w:val="00DC1259"/>
    <w:rsid w:val="00DC1BD2"/>
    <w:rsid w:val="00DC2571"/>
    <w:rsid w:val="00DC487C"/>
    <w:rsid w:val="00DD05A8"/>
    <w:rsid w:val="00DD4335"/>
    <w:rsid w:val="00DE1E7D"/>
    <w:rsid w:val="00DE6BF6"/>
    <w:rsid w:val="00E00709"/>
    <w:rsid w:val="00E1068A"/>
    <w:rsid w:val="00E25884"/>
    <w:rsid w:val="00E25B55"/>
    <w:rsid w:val="00E31C2B"/>
    <w:rsid w:val="00E34CA1"/>
    <w:rsid w:val="00E5426A"/>
    <w:rsid w:val="00E54642"/>
    <w:rsid w:val="00E80CBE"/>
    <w:rsid w:val="00E9269D"/>
    <w:rsid w:val="00E94B8F"/>
    <w:rsid w:val="00E962E3"/>
    <w:rsid w:val="00EB6C79"/>
    <w:rsid w:val="00EC37E9"/>
    <w:rsid w:val="00F038D8"/>
    <w:rsid w:val="00F06995"/>
    <w:rsid w:val="00F12D66"/>
    <w:rsid w:val="00F13623"/>
    <w:rsid w:val="00F26609"/>
    <w:rsid w:val="00F44D1D"/>
    <w:rsid w:val="00F44DA9"/>
    <w:rsid w:val="00F84B6D"/>
    <w:rsid w:val="00F957E8"/>
    <w:rsid w:val="00FA311A"/>
    <w:rsid w:val="00FA5FDA"/>
    <w:rsid w:val="00FB68AC"/>
    <w:rsid w:val="00FB6AB3"/>
    <w:rsid w:val="00FD1419"/>
    <w:rsid w:val="00FD79E4"/>
    <w:rsid w:val="00FE2894"/>
    <w:rsid w:val="00FE6B74"/>
    <w:rsid w:val="00FF48F9"/>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table" w:customStyle="1" w:styleId="1">
    <w:name w:val="טבלת רשת1"/>
    <w:basedOn w:val="a2"/>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3230C7"/>
    <w:rPr>
      <w:color w:val="808080"/>
    </w:rPr>
  </w:style>
  <w:style w:type="paragraph" w:customStyle="1" w:styleId="a">
    <w:name w:val="מספור"/>
    <w:basedOn w:val="a0"/>
    <w:uiPriority w:val="99"/>
    <w:rsid w:val="00FF48F9"/>
    <w:pPr>
      <w:widowControl w:val="0"/>
      <w:numPr>
        <w:numId w:val="1"/>
      </w:numPr>
      <w:spacing w:after="240" w:line="360" w:lineRule="auto"/>
      <w:ind w:left="728"/>
      <w:jc w:val="both"/>
    </w:pPr>
    <w:rPr>
      <w:noProof w:val="0"/>
      <w:spacing w:val="6"/>
      <w:sz w:val="20"/>
    </w:rPr>
  </w:style>
  <w:style w:type="paragraph" w:styleId="ae">
    <w:name w:val="List Paragraph"/>
    <w:basedOn w:val="a0"/>
    <w:uiPriority w:val="34"/>
    <w:qFormat/>
    <w:rsid w:val="00FF48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248934">
      <w:bodyDiv w:val="1"/>
      <w:marLeft w:val="0"/>
      <w:marRight w:val="0"/>
      <w:marTop w:val="0"/>
      <w:marBottom w:val="0"/>
      <w:divBdr>
        <w:top w:val="none" w:sz="0" w:space="0" w:color="auto"/>
        <w:left w:val="none" w:sz="0" w:space="0" w:color="auto"/>
        <w:bottom w:val="none" w:sz="0" w:space="0" w:color="auto"/>
        <w:right w:val="none" w:sz="0" w:space="0" w:color="auto"/>
      </w:divBdr>
    </w:div>
    <w:div w:id="95448012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284946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51983912">
      <w:bodyDiv w:val="1"/>
      <w:marLeft w:val="0"/>
      <w:marRight w:val="0"/>
      <w:marTop w:val="0"/>
      <w:marBottom w:val="0"/>
      <w:divBdr>
        <w:top w:val="none" w:sz="0" w:space="0" w:color="auto"/>
        <w:left w:val="none" w:sz="0" w:space="0" w:color="auto"/>
        <w:bottom w:val="none" w:sz="0" w:space="0" w:color="auto"/>
        <w:right w:val="none" w:sz="0" w:space="0" w:color="auto"/>
      </w:divBdr>
    </w:div>
    <w:div w:id="191735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00311" w:rsidP="0010031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00311"/>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557F1"/>
    <w:rsid w:val="00C96C06"/>
    <w:rsid w:val="00CE1DCB"/>
    <w:rsid w:val="00D24521"/>
    <w:rsid w:val="00E31BF6"/>
    <w:rsid w:val="00E81DB1"/>
    <w:rsid w:val="00F00DF8"/>
    <w:rsid w:val="00F04DC1"/>
    <w:rsid w:val="00F16398"/>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031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0031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1035</Words>
  <Characters>5177</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2023-07-26T10:44:00Z</dcterms:created>
  <dcterms:modified xsi:type="dcterms:W3CDTF">2023-07-26T10:44:00Z</dcterms:modified>
</cp:coreProperties>
</file>